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27" w:rsidRDefault="007F4C2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海安县</w:t>
      </w:r>
      <w:r w:rsidR="00C21481">
        <w:rPr>
          <w:rFonts w:ascii="方正小标宋简体" w:eastAsia="方正小标宋简体" w:hAnsi="方正小标宋简体" w:cs="方正小标宋简体" w:hint="eastAsia"/>
          <w:sz w:val="44"/>
          <w:szCs w:val="44"/>
        </w:rPr>
        <w:t>机构编制委员会办公室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预决算信息公开管理暂行办法</w:t>
      </w:r>
    </w:p>
    <w:p w:rsidR="007F4C27" w:rsidRDefault="007F4C2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F4C27" w:rsidRDefault="007F4C27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总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7F4C27" w:rsidRDefault="007F4C27">
      <w:pPr>
        <w:spacing w:line="54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7F4C27" w:rsidRDefault="007F4C27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为贯彻落实《预算法》和《中共中央办公厅国务院办公厅印发</w:t>
      </w:r>
      <w:r>
        <w:rPr>
          <w:rFonts w:ascii="仿宋_GB2312" w:eastAsia="仿宋_GB2312" w:hAnsi="仿宋_GB2312" w:cs="仿宋_GB2312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关于进一步推进预算公开工作的建议</w:t>
      </w:r>
      <w:r>
        <w:rPr>
          <w:rFonts w:ascii="仿宋_GB2312" w:eastAsia="仿宋_GB2312" w:hAnsi="仿宋_GB2312" w:cs="仿宋_GB2312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的通知》（中办发</w:t>
      </w:r>
      <w:r>
        <w:rPr>
          <w:rFonts w:ascii="仿宋_GB2312" w:eastAsia="仿宋_GB2312" w:hAnsi="仿宋_GB2312" w:cs="仿宋_GB2312"/>
          <w:sz w:val="32"/>
          <w:szCs w:val="32"/>
        </w:rPr>
        <w:t>[2016]13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号）、《财政部关于印发〈地方预决算公开操作规程〉的通知》（财预</w:t>
      </w:r>
      <w:r>
        <w:rPr>
          <w:rFonts w:ascii="仿宋_GB2312" w:eastAsia="仿宋_GB2312" w:hAnsi="仿宋_GB2312" w:cs="仿宋_GB2312"/>
          <w:sz w:val="32"/>
          <w:szCs w:val="32"/>
        </w:rPr>
        <w:t>[2016]143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年海安县预决算信息公开工作方案》（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海财预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[2017]2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号）等有关规定，进一步推进</w:t>
      </w:r>
      <w:proofErr w:type="gramStart"/>
      <w:r w:rsidR="00C21481">
        <w:rPr>
          <w:rFonts w:ascii="仿宋_GB2312" w:eastAsia="仿宋_GB2312" w:hAnsi="仿宋_GB2312" w:cs="仿宋_GB2312" w:hint="eastAsia"/>
          <w:sz w:val="32"/>
          <w:szCs w:val="32"/>
        </w:rPr>
        <w:t>本办</w:t>
      </w:r>
      <w:r>
        <w:rPr>
          <w:rFonts w:ascii="仿宋_GB2312" w:eastAsia="仿宋_GB2312" w:hAnsi="仿宋_GB2312" w:cs="仿宋_GB2312" w:hint="eastAsia"/>
          <w:sz w:val="32"/>
          <w:szCs w:val="32"/>
        </w:rPr>
        <w:t>预决算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公开，提高预决算透明度，强化社会监督，促进依法理财，现结合</w:t>
      </w:r>
      <w:r w:rsidR="00C21481">
        <w:rPr>
          <w:rFonts w:ascii="仿宋_GB2312" w:eastAsia="仿宋_GB2312" w:hAnsi="仿宋_GB2312" w:cs="仿宋_GB2312" w:hint="eastAsia"/>
          <w:sz w:val="32"/>
          <w:szCs w:val="32"/>
        </w:rPr>
        <w:t>本</w:t>
      </w:r>
      <w:proofErr w:type="gramStart"/>
      <w:r w:rsidR="00C21481"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制定本管理办法。</w:t>
      </w:r>
    </w:p>
    <w:p w:rsidR="007F4C27" w:rsidRDefault="007F4C27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本办法所称预决算信息包括预算收支安排和决算等管理信息。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预决算信息以公开为常态，不公开为例外。预决算信息公开遵循依法依规、真实准确、积极稳妥的原则。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第四条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本办法适用于海安县</w:t>
      </w:r>
      <w:r w:rsidR="000B569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机构编制委员会办公室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7F4C27" w:rsidRDefault="007F4C27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F4C27" w:rsidRDefault="007F4C27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公开主体和职责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第五条</w:t>
      </w:r>
      <w:r w:rsidR="000B569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海安县机构编制委员会办公室综合科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牵头负责本部门预决算信息公开工作，履行下列职责：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财政部门预决算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信息公开工作方案的统一要求公开本部门的预决算信息；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（二）按规定做好公民、法人或者其他组织依申请公开部门预决算信息的答复工作；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（三）法律、法规、规章规定的其他职责。</w:t>
      </w:r>
    </w:p>
    <w:p w:rsidR="007F4C27" w:rsidRDefault="007F4C27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F4C27" w:rsidRDefault="007F4C27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公开内容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第六条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本部门预决算信息公开内容包括：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（一）单位职责、机构设置、编制现状、年度主要工作任务等情况。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预决算收支情况，包括一般公共预算收支情况、政府性基金预算收支情况、机关运行经费情况等，涵盖财政拨款收支、非财政拨款收支情况。预决算支出公开到功能分类的项级科目，按规定公开到经济分类科目。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（三）“三公”经费财政拨款预决算总额和分项数额、会议费和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培训费预决算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总额，并对增减变化的原因进行说明。“公务</w:t>
      </w:r>
      <w:r w:rsidR="00322F5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用车购置和运行费”公开为“公务用车购置费”和“公务用车运行费”。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三公”经费决算公开说明因公出国（境）团组数及人数，公务用车购置数及保有量，国内公务接待的批次、人数、经费总额以及“三公”经费增减变化原因等情况。会议费、培训费决算公开说明召开会议和组织培训的次数和人数等情况。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（四）政府采购信息，包括政府采购预算总额和分项数额等。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（五）逐步试行公开预算绩效信息。</w:t>
      </w:r>
    </w:p>
    <w:p w:rsidR="007F4C27" w:rsidRDefault="007F4C27">
      <w:pPr>
        <w:pStyle w:val="a5"/>
        <w:widowControl/>
        <w:spacing w:beforeAutospacing="0" w:afterAutospacing="0" w:line="54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（六）逐步试行公开资产管理信息。</w:t>
      </w:r>
    </w:p>
    <w:p w:rsidR="007F4C27" w:rsidRDefault="007F4C27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第四章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公开方式和时间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第七条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预决算信息公开以海安县政府门户网站及本部门门户网站为平台，在预决算公开专栏保持长期公开，便于社会公众查询监督。</w:t>
      </w:r>
    </w:p>
    <w:p w:rsidR="007F4C27" w:rsidRDefault="007F4C27">
      <w:pPr>
        <w:pStyle w:val="a5"/>
        <w:widowControl/>
        <w:spacing w:beforeAutospacing="0" w:afterAutospacing="0" w:line="540" w:lineRule="exact"/>
        <w:ind w:firstLine="642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第八条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经批准的预算和决算应当在批准后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日内，由本单位公开。</w:t>
      </w:r>
    </w:p>
    <w:p w:rsidR="007F4C27" w:rsidRDefault="007F4C27">
      <w:pPr>
        <w:pStyle w:val="a5"/>
        <w:widowControl/>
        <w:spacing w:beforeAutospacing="0" w:afterAutospacing="0" w:line="540" w:lineRule="exact"/>
        <w:ind w:firstLine="642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7F4C27" w:rsidRDefault="007F4C27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监督管理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本单位按照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年海安县预决算信息公开工作方案》（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海财预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[2017]2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号）的有关规定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做好预决算信息公开工作，保障公民、法人和其他组织依法获取政府信息的权利。</w:t>
      </w:r>
    </w:p>
    <w:p w:rsidR="007F4C27" w:rsidRPr="00322F5D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第十条</w:t>
      </w: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本单位应当加强与相关部门的沟通协调，预决算信息公开工作中遇到的重大问题要及时向上级财政部门</w:t>
      </w:r>
      <w:r w:rsidRPr="00990415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报告</w:t>
      </w:r>
      <w:r w:rsidRPr="00322F5D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。</w:t>
      </w:r>
    </w:p>
    <w:p w:rsidR="007F4C27" w:rsidRDefault="007F4C27">
      <w:pPr>
        <w:pStyle w:val="a5"/>
        <w:widowControl/>
        <w:spacing w:beforeAutospacing="0" w:afterAutospacing="0" w:line="54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7F4C27" w:rsidRDefault="007F4C27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7F4C27" w:rsidRDefault="007F4C27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7F4C27" w:rsidRDefault="007F4C27">
      <w:pPr>
        <w:spacing w:line="54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第十一条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本办法由</w:t>
      </w:r>
      <w:r w:rsidR="00436C2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海安县机构编制委员会办公室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负责解释。</w:t>
      </w:r>
    </w:p>
    <w:p w:rsidR="007F4C27" w:rsidRDefault="007F4C27">
      <w:pPr>
        <w:spacing w:line="540" w:lineRule="exact"/>
        <w:ind w:firstLine="64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第十二条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本办法自发布之日起施行。</w:t>
      </w:r>
    </w:p>
    <w:p w:rsidR="007F4C27" w:rsidRDefault="007F4C27">
      <w:pPr>
        <w:spacing w:line="540" w:lineRule="exact"/>
        <w:ind w:firstLine="64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7F4C27" w:rsidRDefault="007F4C27">
      <w:pPr>
        <w:spacing w:line="55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                            2017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436C2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 w:rsidR="001C3BE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日　</w:t>
      </w:r>
    </w:p>
    <w:sectPr w:rsidR="007F4C27" w:rsidSect="002A1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7" w:bottom="1587" w:left="1587" w:header="851" w:footer="1304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27" w:rsidRDefault="007F4C27" w:rsidP="002A1D72">
      <w:r>
        <w:separator/>
      </w:r>
    </w:p>
  </w:endnote>
  <w:endnote w:type="continuationSeparator" w:id="0">
    <w:p w:rsidR="007F4C27" w:rsidRDefault="007F4C27" w:rsidP="002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81" w:rsidRDefault="00C214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27" w:rsidRDefault="00E4327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7F4C27" w:rsidRDefault="00C618C2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C3BE1" w:rsidRPr="001C3BE1">
                  <w:rPr>
                    <w:noProof/>
                    <w:sz w:val="18"/>
                  </w:rPr>
                  <w:t>3</w:t>
                </w:r>
                <w:r>
                  <w:rPr>
                    <w:noProof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81" w:rsidRDefault="00C214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27" w:rsidRDefault="007F4C27" w:rsidP="002A1D72">
      <w:r>
        <w:separator/>
      </w:r>
    </w:p>
  </w:footnote>
  <w:footnote w:type="continuationSeparator" w:id="0">
    <w:p w:rsidR="007F4C27" w:rsidRDefault="007F4C27" w:rsidP="002A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81" w:rsidRDefault="00C214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81" w:rsidRDefault="00C21481" w:rsidP="001C3BE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81" w:rsidRDefault="00C214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7EF1CEA"/>
    <w:rsid w:val="00010253"/>
    <w:rsid w:val="000B5695"/>
    <w:rsid w:val="000C797B"/>
    <w:rsid w:val="00126FD6"/>
    <w:rsid w:val="00153E44"/>
    <w:rsid w:val="0019126B"/>
    <w:rsid w:val="001C3BE1"/>
    <w:rsid w:val="00215CDA"/>
    <w:rsid w:val="00230B25"/>
    <w:rsid w:val="002A05F9"/>
    <w:rsid w:val="002A1D72"/>
    <w:rsid w:val="00322F5D"/>
    <w:rsid w:val="003828C0"/>
    <w:rsid w:val="003D6AE3"/>
    <w:rsid w:val="00436C27"/>
    <w:rsid w:val="00466770"/>
    <w:rsid w:val="00477C64"/>
    <w:rsid w:val="004A17C9"/>
    <w:rsid w:val="004A48A5"/>
    <w:rsid w:val="004C709F"/>
    <w:rsid w:val="00523E57"/>
    <w:rsid w:val="00547636"/>
    <w:rsid w:val="00580857"/>
    <w:rsid w:val="00582974"/>
    <w:rsid w:val="005A5C18"/>
    <w:rsid w:val="005C66D9"/>
    <w:rsid w:val="005C7199"/>
    <w:rsid w:val="005F0A53"/>
    <w:rsid w:val="006B7A9F"/>
    <w:rsid w:val="006C5A8E"/>
    <w:rsid w:val="0070219E"/>
    <w:rsid w:val="00712330"/>
    <w:rsid w:val="007A464A"/>
    <w:rsid w:val="007F4C27"/>
    <w:rsid w:val="00840823"/>
    <w:rsid w:val="00866067"/>
    <w:rsid w:val="008C542F"/>
    <w:rsid w:val="008D3AB4"/>
    <w:rsid w:val="00990415"/>
    <w:rsid w:val="009C7E53"/>
    <w:rsid w:val="00A708EF"/>
    <w:rsid w:val="00A935DD"/>
    <w:rsid w:val="00AC0156"/>
    <w:rsid w:val="00B746BB"/>
    <w:rsid w:val="00C21481"/>
    <w:rsid w:val="00C31C30"/>
    <w:rsid w:val="00C40CAE"/>
    <w:rsid w:val="00C618C2"/>
    <w:rsid w:val="00C805AE"/>
    <w:rsid w:val="00C8205C"/>
    <w:rsid w:val="00D506B1"/>
    <w:rsid w:val="00D5330D"/>
    <w:rsid w:val="00D54C55"/>
    <w:rsid w:val="00DD055B"/>
    <w:rsid w:val="00E26CFB"/>
    <w:rsid w:val="00E51085"/>
    <w:rsid w:val="00E53651"/>
    <w:rsid w:val="00E71170"/>
    <w:rsid w:val="00E96A5D"/>
    <w:rsid w:val="00FA48E4"/>
    <w:rsid w:val="019E4C3A"/>
    <w:rsid w:val="029651C3"/>
    <w:rsid w:val="037410AC"/>
    <w:rsid w:val="03C73448"/>
    <w:rsid w:val="04E303F6"/>
    <w:rsid w:val="063729F2"/>
    <w:rsid w:val="0A2B66D5"/>
    <w:rsid w:val="0B022306"/>
    <w:rsid w:val="0B673FC8"/>
    <w:rsid w:val="0CF33EC0"/>
    <w:rsid w:val="0ED65BF1"/>
    <w:rsid w:val="0F483138"/>
    <w:rsid w:val="10232608"/>
    <w:rsid w:val="10981222"/>
    <w:rsid w:val="10BB0FD3"/>
    <w:rsid w:val="115B3913"/>
    <w:rsid w:val="11CC7F05"/>
    <w:rsid w:val="120D687C"/>
    <w:rsid w:val="123F344C"/>
    <w:rsid w:val="129923AD"/>
    <w:rsid w:val="13100F1C"/>
    <w:rsid w:val="13C7717D"/>
    <w:rsid w:val="13F46C61"/>
    <w:rsid w:val="14A42A17"/>
    <w:rsid w:val="14CD436E"/>
    <w:rsid w:val="16651BE3"/>
    <w:rsid w:val="176C3701"/>
    <w:rsid w:val="17820FAE"/>
    <w:rsid w:val="17A7489F"/>
    <w:rsid w:val="1C172E72"/>
    <w:rsid w:val="1D59398E"/>
    <w:rsid w:val="1D794CF3"/>
    <w:rsid w:val="1F256995"/>
    <w:rsid w:val="1F6E06A6"/>
    <w:rsid w:val="2085085D"/>
    <w:rsid w:val="20DE6043"/>
    <w:rsid w:val="210B0F66"/>
    <w:rsid w:val="21F502C9"/>
    <w:rsid w:val="239A15C0"/>
    <w:rsid w:val="24753E3F"/>
    <w:rsid w:val="250551BA"/>
    <w:rsid w:val="25C36FC5"/>
    <w:rsid w:val="26C97B57"/>
    <w:rsid w:val="2754441C"/>
    <w:rsid w:val="28DE63D8"/>
    <w:rsid w:val="29A23A5C"/>
    <w:rsid w:val="29A933AE"/>
    <w:rsid w:val="2A33454C"/>
    <w:rsid w:val="2A825CE2"/>
    <w:rsid w:val="2B3C5913"/>
    <w:rsid w:val="2B7925B1"/>
    <w:rsid w:val="2B9D0EC0"/>
    <w:rsid w:val="2BBA6F3F"/>
    <w:rsid w:val="2BE50209"/>
    <w:rsid w:val="2C2F0719"/>
    <w:rsid w:val="2CC759C7"/>
    <w:rsid w:val="2D337227"/>
    <w:rsid w:val="2DCC00A3"/>
    <w:rsid w:val="2E0D7F0D"/>
    <w:rsid w:val="2FBF47BE"/>
    <w:rsid w:val="30F221FC"/>
    <w:rsid w:val="323D0F4B"/>
    <w:rsid w:val="32C903A2"/>
    <w:rsid w:val="362E1B16"/>
    <w:rsid w:val="36766189"/>
    <w:rsid w:val="371214D9"/>
    <w:rsid w:val="383B2C84"/>
    <w:rsid w:val="386C283C"/>
    <w:rsid w:val="39D13344"/>
    <w:rsid w:val="3A5A4D2D"/>
    <w:rsid w:val="3C2B68AD"/>
    <w:rsid w:val="3D882931"/>
    <w:rsid w:val="3DA13F10"/>
    <w:rsid w:val="3E9051E4"/>
    <w:rsid w:val="3FEA3B5B"/>
    <w:rsid w:val="407B68E2"/>
    <w:rsid w:val="40C25862"/>
    <w:rsid w:val="42BA69C2"/>
    <w:rsid w:val="42F56F25"/>
    <w:rsid w:val="44787FF8"/>
    <w:rsid w:val="44AC78FC"/>
    <w:rsid w:val="459B07E8"/>
    <w:rsid w:val="45D926FE"/>
    <w:rsid w:val="4604648B"/>
    <w:rsid w:val="48157DFD"/>
    <w:rsid w:val="4A09168A"/>
    <w:rsid w:val="4B70194C"/>
    <w:rsid w:val="4BAA6D9E"/>
    <w:rsid w:val="4C0D267D"/>
    <w:rsid w:val="4CDD04BA"/>
    <w:rsid w:val="4D0273E4"/>
    <w:rsid w:val="4D167C57"/>
    <w:rsid w:val="4E7D6BF2"/>
    <w:rsid w:val="4EAC3DF1"/>
    <w:rsid w:val="4EFB5E6F"/>
    <w:rsid w:val="4F122093"/>
    <w:rsid w:val="5117778C"/>
    <w:rsid w:val="518E51BD"/>
    <w:rsid w:val="52313511"/>
    <w:rsid w:val="52551DB2"/>
    <w:rsid w:val="536257F6"/>
    <w:rsid w:val="53F826FB"/>
    <w:rsid w:val="54643FF7"/>
    <w:rsid w:val="55E936AB"/>
    <w:rsid w:val="56074EAC"/>
    <w:rsid w:val="57011FCF"/>
    <w:rsid w:val="57340148"/>
    <w:rsid w:val="581F62B3"/>
    <w:rsid w:val="58A81232"/>
    <w:rsid w:val="59006E36"/>
    <w:rsid w:val="59415E39"/>
    <w:rsid w:val="5983628C"/>
    <w:rsid w:val="598E4E45"/>
    <w:rsid w:val="5CEB25FB"/>
    <w:rsid w:val="5D40696F"/>
    <w:rsid w:val="5D8A0073"/>
    <w:rsid w:val="5E042C9B"/>
    <w:rsid w:val="5F3133FD"/>
    <w:rsid w:val="5FD15A33"/>
    <w:rsid w:val="60931291"/>
    <w:rsid w:val="640B4886"/>
    <w:rsid w:val="652F0C67"/>
    <w:rsid w:val="66802877"/>
    <w:rsid w:val="67402ECD"/>
    <w:rsid w:val="674D23F8"/>
    <w:rsid w:val="677E6AB6"/>
    <w:rsid w:val="67EF1CEA"/>
    <w:rsid w:val="681E64FD"/>
    <w:rsid w:val="685F76A0"/>
    <w:rsid w:val="69376233"/>
    <w:rsid w:val="69614255"/>
    <w:rsid w:val="69782A3F"/>
    <w:rsid w:val="69D32658"/>
    <w:rsid w:val="6A601AAC"/>
    <w:rsid w:val="6B0B513F"/>
    <w:rsid w:val="6BA31C75"/>
    <w:rsid w:val="6CB5066C"/>
    <w:rsid w:val="6ECD5696"/>
    <w:rsid w:val="702F49F2"/>
    <w:rsid w:val="722B532D"/>
    <w:rsid w:val="72865F6B"/>
    <w:rsid w:val="751B5898"/>
    <w:rsid w:val="752A5554"/>
    <w:rsid w:val="757B2BFC"/>
    <w:rsid w:val="763C3C19"/>
    <w:rsid w:val="770C0E86"/>
    <w:rsid w:val="77447643"/>
    <w:rsid w:val="775C2C99"/>
    <w:rsid w:val="7AA270D2"/>
    <w:rsid w:val="7C1C05DA"/>
    <w:rsid w:val="7C8302C1"/>
    <w:rsid w:val="7FBE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D7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A1D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A1D72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A1D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A1D72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2A1D72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rsid w:val="002A1D72"/>
    <w:rPr>
      <w:rFonts w:cs="Times New Roman"/>
      <w:color w:val="000000"/>
      <w:u w:val="none"/>
    </w:rPr>
  </w:style>
  <w:style w:type="character" w:styleId="a7">
    <w:name w:val="Hyperlink"/>
    <w:basedOn w:val="a0"/>
    <w:uiPriority w:val="99"/>
    <w:rsid w:val="002A1D72"/>
    <w:rPr>
      <w:rFonts w:cs="Times New Roman"/>
      <w:color w:val="000000"/>
      <w:u w:val="none"/>
    </w:rPr>
  </w:style>
  <w:style w:type="paragraph" w:styleId="a8">
    <w:name w:val="Balloon Text"/>
    <w:basedOn w:val="a"/>
    <w:link w:val="Char1"/>
    <w:uiPriority w:val="99"/>
    <w:semiHidden/>
    <w:unhideWhenUsed/>
    <w:locked/>
    <w:rsid w:val="00126FD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26FD6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1135</Words>
  <Characters>206</Characters>
  <Application>Microsoft Office Word</Application>
  <DocSecurity>0</DocSecurity>
  <Lines>1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海安县环境卫生管理处预决算信息公开管理办法</dc:title>
  <dc:subject/>
  <dc:creator>user</dc:creator>
  <cp:keywords/>
  <dc:description/>
  <cp:lastModifiedBy>微软用户</cp:lastModifiedBy>
  <cp:revision>15</cp:revision>
  <cp:lastPrinted>2017-05-04T07:31:00Z</cp:lastPrinted>
  <dcterms:created xsi:type="dcterms:W3CDTF">2017-02-08T06:33:00Z</dcterms:created>
  <dcterms:modified xsi:type="dcterms:W3CDTF">2017-05-04T11:26:00Z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